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GoBack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НОЯБРЬ, 2020: ОБЩЕСТВЕННЫЙ ДИАЛОГ: ОСНОВНЫЕ НАПРАВЛЕНИЯ РАЗВИТИЯ БЕЛАРУСИ</w:t>
      </w:r>
      <w:bookmarkEnd w:id="0"/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3 ноября 2020 г., принимая верительные грамоты послов зарубежных государств, Президент Республики Беларусь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А.Г.Лукашенко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диалога. По его словам, события этого года стали экзаменом не только для действующей власти, но и для всего белорусского общества.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государство»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, – подчеркнул белорусский лидер.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7 ноября 2020 г. на открытии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БелАЭС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, рассуждая о перспективах страны и необходимости принять новый Основной Закон, Глава государства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А.Г.Лукашенко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отметил, «что для возможных изменений в Конституцию в стране проходили диалоговые площадки». Он сам был сторонником их проведения на уровне регионов, в трудовых и молодежных коллективах.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«Чтобы люди не просто поговорили, а внесли свои предложения. А мы почувствовали, чем живет народ»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, – отметил Президент Беларуси.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Именно поэтому созданные по всей республике диалоговые площадки сегодня актуальны как никогда. Такой формат общения позволяет вести конструктивный диалог, поднимать действительно актуальные вопросы, а также формировать стратегические приоритеты и индикаторы устойчивого развития нашей страны на долгосрочную перспективу.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все инициативы и предложения граждан, озвученные на региональных диалоговых площадках, будут собраны, обсуждены с 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итоги прошедшей пятилетки, а также вырабатывают направления стратегии дальнейшего развития республики.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Диалоговые площадки – путь к национальному согласию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важно, чтобы все вопросы решались за круглым столом, а не в конфликтах и противостоянии. Мы должны выявлять проблемы, которые есть в жизни общества, и совместно находить оптимальные пути решения. Диалоговая площадка – платформа, где данные вопросы как раз 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и будут решаться. Так носители разных взглядов и точек зрения на общую для всех нас Беларусь способны услышать друг друга.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Диалоговые площадки работали во всех регионах страны на протяжении октября – начала ноября 2020 г. В настоящее время их работа практически завершена. Продолжают работать диалоговые площадки в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инске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, проводят диалоги в молодежной среде представители БРСМ и Молодежной палаты при Национальном собрании Республики Беларусь. В дискуссии, затрагивающие наиболее важные вопросы, в том числе требующие своего разрешения на уровне Основного Закона, вовлекалось большое число участников, представляющих все слои белорусского общества: ученые, эксперты, представители гражданского общества и госструктур, молодежь и просто неравнодушные граждане. А потому обсуждения касались самых разных сфер нашей жизни –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данным на 10 ноября 2020 г., проведено 154 тематических заседаний диалоговых площадок в областных центрах и городах с населением свыше 80 тыс. человек: в Гродненской и Брестской областях –10 и 26 соответственно, в Витебской области – 14 площадок, Могилевской области – 31 площадка, в Минской области проведено 21 заседание, в Гомельской области – 17, в </w:t>
      </w:r>
      <w:proofErr w:type="spellStart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Start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.М</w:t>
      </w:r>
      <w:proofErr w:type="gramEnd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инске</w:t>
      </w:r>
      <w:proofErr w:type="spellEnd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35.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Кроме того, в Могилевской области дискуссионные площадки прошли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 всех районных центрах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Минской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области также проводилось обсуждение конституционной реформы на </w:t>
      </w:r>
      <w:proofErr w:type="gramStart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интернет-платформах</w:t>
      </w:r>
      <w:proofErr w:type="gramEnd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Получено и обработано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более 300 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предложений.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Вниманию </w:t>
      </w:r>
      <w:proofErr w:type="spellStart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выступающих</w:t>
      </w:r>
      <w:proofErr w:type="gramStart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:в</w:t>
      </w:r>
      <w:proofErr w:type="spellEnd"/>
      <w:proofErr w:type="gramEnd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ходе проведения единого дня информирования целесообразно приводить актуализированные сведения и примеры применительно к конкретному региону, территории, населенному пункту.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Брестской области всего прошло  26   площадок, в которых приняли участие почти 1000 человек   из числа  научных экспертов, руководителей  предприятий, организаций и учреждений, представителей общественных организаций, партий,  депутатов, молодежи. Итоги были подведены на областной диалоговой площадке 6 ноября 2020 г.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Через дискуссионные площадки и электронные ресурсы, которые были созданы   на сайтах госорганов и в редакциях газет,  поступило  более 300 предложений самого разного характера.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В целом, диалоговые площадки – это возможность оперативно донести мнение граждан до органов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госуправления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, обсудить наиболее актуальные вопросы, предложить варианты ответов и выработать концепцию дальнейшего развития нашего государства. Ведь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Необходимость выйти на диалоговую площадку продиктована, прежде всего, эволюционным развитием белорусского государства. Мы прошли большой путь в становлении суверенной независимой страны. Но определенные законодательные акты, на которых был построен фундамент молодой республики, сегодня не в полной мере решают накопившиеся в обществе проблемы. И не потому, что они несовершенны, а потому, что жизнь не стоит на месте. Выросло новое поколение белорусов, которое стремится участвовать в политической жизни страны, хочет принимать важные решения, затрагивающие судьбу государства.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опытные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Вместе с тем, конституционная реформа – дело очень серьезное. Не должна быть реформа ради реформы либо в угоду кому-то. Необходимо ценить то, что мы уже достигли, взвешенно подходить к изменениям и думать о последствиях.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очень 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 населения.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Региональные диалоговые площадки как отражение потребностей белорусского общества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Активное обсуждение актуальных вопросов развития страны проходило во всех регионах. Проведение региональных диалоговых площадок – показатель, что общество и власть находятся в конструктивном диалоге.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Задачи, которые нам предстоит решать в ближайшее время, напрямую связаны с подготовкой Всебелорусского народного собрания, призванного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включились все, кому не безразлично будущее Беларуси.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Гродненский</w:t>
      </w:r>
      <w:proofErr w:type="gramEnd"/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диалог–2020»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– именно под таким названием было организовано проведение диалоговых площадок в Гродненской области. По состоянию на 10 ноября 2020 г. на данной территории проведено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 заседаний тематических площадок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 с участием широкого спектра представителей: Гродненский облисполком и областной Совет 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депутатов, лидеры и активисты общественных организаций и политических партий, депутатский корпус, представители профессиональных и 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бизнес-сообществ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, а также студенческой и рабочей молодежи, представители неполитических гражданских инициатив, в том числе граждане с активной гражданской позицией. Подать свои предложения и записаться для участия в работе диалоговой площадки могли все желающие, оформив заявку на сайте Гродненского облисполкома.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Диалоговыми площадками послужили: Молодежный центр «Гродно» (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родно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), Дворце культуры (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г.Лида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), УО «Гродненский государственный университет им. Я. Купалы», УО «Гродненский государственный медицинский университет» и др.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Площадки были организованы по принципу панельных дискуссий – модератор, приглашенные эксперты и свободный микрофон, – где собравшиеся могли высказывать свои предложения. Инициативы, которые по результатам обсуждения получали наибольшую поддержку, вошли в итоговый протокол. Такой вариант дискуссии позволил максимально широко услышать мнения граждан, узнать их чаяния и ожидания, а также собрать наиболее конструктивные предложения общества.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Все инициативы (78 предложений), поступившие в ходе диалоговых площадок в Гродненской области, систематизированы по сферам: государственная молодежная политика – 24 предложения, социальная сфера – 15, конституционное реформирование и партийное строительство – 10, местное управление и самоуправление – 9, экономика и бизнес –20.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Показала свою эффективность в плане обмена мнениями и предложениями такая форма работы и в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Гомельской области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. Обсуждения проходили в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озырь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г.Гомель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представительства всех регионов области. Участниками дискуссии стали депутаты, представители органов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госуправления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, территориального самоуправления, члены молодежных советов, общественных объединений, политических партий, организаций и предприятий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омеля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г.Мозыря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, Буда-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Кошелевского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Добрушского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Кормянского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Лоевского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Речицкого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, Рогачевского, Светлогорского,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Ветковского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Чечерского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районов.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По состоянию на 10 ноября 2020 г. в Гомельской области была организована работа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17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дискуссионных площадок.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Диалоговые площадки, в частности, были открыты на базе ГУ «Гомельский областной общественно-культурный центр», УО «Гомельский государственный университет им. Франциска Скорины», ГУ «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Мозырский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драматический театр им.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И.Мележа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», УО «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Мозырский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педагогический университет им. И.П. 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площадок, организованных в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Брестской области под общим названием «</w:t>
      </w:r>
      <w:proofErr w:type="spellStart"/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Берасцейскі</w:t>
      </w:r>
      <w:proofErr w:type="spellEnd"/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дыялог</w:t>
      </w:r>
      <w:proofErr w:type="spellEnd"/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. На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Панельные дискуссии по актуальным направлениям развития государства и общества развернулись в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ресте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г.Барановичи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г.Пинске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: в частности, на базе Брестского облисполкома, Брестского областного общественно-культурного центра, УО «Брестский политехнический университет», гостиницы «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Hampton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г.Брест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, конференц-зал), ГУО «Дворец детского творчества г. Барановичи», УО «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Барановичский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университет», УО «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Полесский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университет» (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г.Пинск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проводимых дискуссий смогли выступить представители государственных органов, профессиональных и 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бизнес-сообществ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, депутаты, лидеры и активисты общественных организаций и политических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Плюрализм мнений и позиций, представленных на диалоговых площадках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Могилевской области 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огилев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г.Бобруйск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), также позволили собрать аргументированную базу для принятия взвешенных и объективных решений по обсуждаемым вопросам. Всего в данном регионе проведена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31 общественная дискуссия. 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Они прошли в УО «Могилевский государственный университет им. А.А. Кулешова», ГУВПО «Белорусско-Российский университет», районном центре культуры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обруйска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Кроме того, в каждом районе области состоялись региональные дискуссии в рамках проведения расширенных заседаний координационных советов общественных организаций и политических партий регионов. Все диалоговые площадки прошли в заинтересованной, открытой обстановке, и их итогом стало внесение конкретных предложений, направленных на улучшение качества жизни населения, на сохранение мира и согласия в обществе.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Дискуссионные площадки в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Витебской области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состоялись на базе УО «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Витебский государственный университет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 им. П.М.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», УО «Полоцкий государственный университет», гостиница «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Лучёса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итебск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Глубокский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райисполком, Дворец культуры ОАО «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Нафтан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г.Новополоцк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), а также в Бешенковичах, Орше и др.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Лейтмотивом работы данных площадок стал тезис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конъюнктуре. При этом самое главное – перемены –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На территории </w:t>
      </w:r>
      <w:proofErr w:type="spellStart"/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инска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проведено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35 заседаний диалоговых площадок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 по актуальным вопросам развития Республики Беларусь. Однако именно в столице нашей страны работа диалоговых площадок была продолжена и завершилась 17 ноября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. проведением Минской городской дискуссии. Встречи проходили в Академии управления при Президенте Республики Беларусь, УО «Белорусский государственный университет», УО «Белорусский государственный педагогический университет им.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М.Танка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», УО «Белорусский государственный экономический университет», ГП «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Минскпроект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» и ГП «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Минскстрой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Работа данных площадок проводилась как в очном, так и заочном форматах. С целью эффективной координации и организации деятельности за каждой из них были определены кураторы и модераторы из числа авторитетных и профессиональных деятелей.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Планомерно проводилась работа и в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Минской области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по организации и проведению дискуссионных площадок для обсуждения актуальных вопросов развития нашего государства. В частности, она выстраивалась по трем векторам: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интернет-сети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 сбор предложений неравнодушных к судьбе Беларуси граждан по вопросам конституционной реформы, изменения избирательного законодательства и иным темам, актуальным для населения минской области;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проведены региональные дискуссионные площадки, в том числе в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олодечно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г.Солигорске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. 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(порядка 140 человек). 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В ходе дискуссий участники в формате «круглого стола» 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  <w:proofErr w:type="gramEnd"/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по линии областного объединения Федерации профсоюзов Беларуси инициировано проведение собраний (от первичного звена до отраслевых комитетов), на которых члены профсоюзов также обсуждали наиболее актуальные вопросы развития страны.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Важно, что благодаря такой конструктивной форме взаимодействия, каждый участник видит друг в друге не только политических оппонентов, но сограждан, готовых вместе строить будущее своей страны, несмотря на расхождение во взглядах. Именно так силы общества направляются не на разрушение, а на созидание.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Все инициативы граждан будут услышаны, проанализированы и в конечном итоге лягут в основу правильных и грамотных управленческих решений, которые будут полезными для различных слоев общества.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Несмотря на то, что уже сейчас можно выделить конкретные предложения по совершенствованию развития Беларуси, в ноябре-декабре работа по их сбору будет продолжаться общественными приемными 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рай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/гор/облисполкомах, а также общественных объединениях «Белая Русь» и «БРСМ», областных и районных объединениях профсоюзов. У белорусов есть время и возможность 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развития Беларуси: обобщение предложений региональных диалоговых площадок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В ходе проведенных панельных дискуссий по наиболее важным и актуальным тематическим блокам вопросов на данный момент выработаны следующие предложения.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Конституционная реформа и партийное строительство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Наиболее часто встречаемыми предложениями, высказанными на дискуссионных площадках по всей республике в рамках данного направления, стали: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политического поля страны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(совершенствование правовой среды и демонстрация готовности государства к активизации политических партий и движений);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перераспределение полномочий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Президента, Парламента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br/>
        <w:t>и местных властей;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переход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мажоритарной к смешанной избирательной системе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выборов депутатов Парламента (для усиления роли политических партий и движений в общественной жизни страны);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увеличение срока полномочий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Национального собрания Республики Беларусь и местных Советов депутатов до 5 лет;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внесение в Конституцию Республики Беларусь статьи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статусе Всебелорусского народного собрания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введение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института Уполномоченного по правам человека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в Республике Беларусь;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введение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единого дня голосования 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для выборов депутатов Парламента и Президента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 целью сбережения государственных средств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введение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моратория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на смертную казнь;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закрепление возможности заключения под стражу только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решению суда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Кроме того, в отдельных регионах нашей страны были сделаны и другие предложения: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вМогилевской</w:t>
      </w:r>
      <w:proofErr w:type="spellEnd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области: предусмотреть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совершенствование функционирования контрольно-надзорных органов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Республики Беларусь;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вГродненской</w:t>
      </w:r>
      <w:proofErr w:type="spellEnd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области: разработать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прозрачную систему голосования на основе </w:t>
      </w:r>
      <w:proofErr w:type="spellStart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блокчейн</w:t>
      </w:r>
      <w:proofErr w:type="spellEnd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технологий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Гомельской области: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расширить круг лиц, имеющих право на прямое обращение в Конституционный Суд Республики Беларусь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включив в такой круг Генерального прокурора Республики Беларусь, председателей областных (Минского городского) и районных судов, экономических судов, граждан;</w:t>
      </w:r>
      <w:proofErr w:type="gramEnd"/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Витебской области: установить для партий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проходной процент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для участия в представительных органах власти на уровне не менее 10%; создать постоянно действующий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конституционный совет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с широким представительством общественных и политических структур.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Повышение роли местного управления и самоуправления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Главные идеи, сформулированные в ходе общественного диалога, следующие: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упразднение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сельских, поселковых Советов депутатов;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расширение полномочий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местных органов власти, в том числе в части распоряжения финансовыми ресурсами;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повышение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роли и статуса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местного самоуправления;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выборность глав органов местной исполнительной власти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(кроме председателей облисполкомов и Минского горисполкома).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Также необходимо отметить что: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Гродненской области было предложено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формировать бюджеты гражданского участия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путем выделения средств из бюджета административно-территориальной единицы, предназначенных для реализации проектов, предлагаемых местными жителями;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Минской области – законодательно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закрепить понятие «депутатского фонда»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с возможностью его расходования на развитие города (района) под контролем депутатов, предусмотреть в местном бюджете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статью затрат на проведение местных референдумов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и сформировать институт проведения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гражданских референдумов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с целью повышения участия граждан в принятии решений по развитию населенного пункта, в котором они проживают;</w:t>
      </w:r>
      <w:proofErr w:type="gramEnd"/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Витебской области –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перевести деятельность областных Советов депутатов на профессиональную основу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экономики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Ключевые предложения в этой сфере касаются: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создания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равных условий хозяйствования для предприятий независимо от формы собственности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(финансовая поддержка, равный доступ к кредитам, одинаковое отношение при проведении проверок и т.д.);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предсказуемости 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экономической политики,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прозрачности и заблаговременности 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предполагаемых изменений;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обеспечения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справедливой судебной системы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, независимой от влияния органов исполнительной власти;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предоставления судам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исключительного права решений о лишении собственности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, принудительной остановке работы организаций;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разработки прозрачной процедуры проведения амнистии капитала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, при которой предпринимателю будет понятен весь ее процесс и результаты, а также проведение амнистии капитала в отношении тех средств, которые будут вложены в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отстающих районов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разработки механизмов повышения занятости уязвимых групп населения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, в том числе молодежи, на основе поощрения работодателей за трудоустройство данных категорий граждан;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ликвидации перекрестного субсидирования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в экономике;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предоставления возможности организациям (за исключением предприятий из сфер нефтехимической промышленности, производства калийных удобрений и т.п.), имеющим рентабельность свыше 20%,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вкладывать прибыль в развитие территорий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, на которых они расположены;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сокращения функций Комитета государственного контроля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 (ограничиться осуществлением 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республиканского бюджета), возможного преобразования данного органа в Контрольную палату.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Вместе с этим, в отдельных областях нашей страны были сделаны и другие предложения: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первоочередное развитие инструментов финансирования малого и среднего предпринимательства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в рамках мероприятий по поддержке предпринимательства, особое внимание уделить грантам; гарантировать право руководителей на разумный деловой риск;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Витебской области отдельно было предложено сформировать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механизм оптимизации предпринимателем налоговой нагрузки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чтобы избежать вывода капитала за границу, а также уделить внимание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развитию </w:t>
      </w:r>
      <w:proofErr w:type="gramStart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бизнес-инкубаторов</w:t>
      </w:r>
      <w:proofErr w:type="gramEnd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созданию и расширению бизнес-инфраструктуры; предоставить регионам большую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самостоятельность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Социальная сфера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Высказанные в рамках данного направления предложения включали в себя: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осуществление градостроительного планирования районов с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обязательным учетом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 объектов социальной инфраструктуры (школы, детские сады, объекты торговли и т.д.). 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Разработка и внедрение новых социальных стандартов по обеспечению объектами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инфраструктуры физической культуры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спорта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(стадион, бассейн, игровой зал, спортивные площадки на дворовой территории, велодорожки), в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зависимости от численности населения микрорайона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введение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единого государственного экзамена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в форме ЦТ посредством объединения выпускных экзаменов за курс средней школы и вступительных экзаменов в высшие учебные заведения;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разработка нормативно-правовых актов, регулирующих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, в том числе и на уровне общего среднего образования, а также обозначение прав и обязанностей учащихся, их законных представителей и педагогических работников при организации дистанционного обучения;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комплексного и взаимно заинтересованного взаимодействия между органами государственного управления, учреждениями высшего образования, агропромышленным сектором и 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бизнес-сообществами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подготовки востребованных и высококвалифицированных молодых специалистов, содействия их последующему трудоустройству;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конвертация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стажа военной службы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(при условии наличия опыта работы с личным составом) в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педагогический стаж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военнослужащих в запасе, преподающих допризывную подготовку;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развитие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государственно-частного партнерства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в вопросах сохранения культурного наследия;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обеспечение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повсеместной доступности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медицинских услуг вне зависимости от типа населенного пункта;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привязка штатных нормативов учреждений здравоохранения не к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коечному фонду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, а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объемам оказания медицинской помощи;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повышение ответственности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 взрослых детей за своих родителей посредством введения нормы, привязывающей к доходу детей оплату содержания человека в стационарном учреждении ухода за 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престарелыми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Также заслуживают внимания следующие предложения, сделанные участниками диалоговых площадок: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Могилевской области с целью более качественного подбора аспирантов ВУЗов было предложено предоставить право второй отсрочки от службы в вооруженных силах для обучения в аспирантуре, магистратуре; организовать взаимодействие ВУЗов и организаций при подготовке учащимися курсовых и дипломных проектов по актуальным вопросам субъектов хозяйствования;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в Гомельской области было предложено предусмотреть обязанность нанимателя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материально стимулировать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наставников молодых специалистов;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Гродненской области – рассмотреть возможность оставить право нахождения в категории лиц,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нуждающихся в улучшении жилищных условий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тех, кто уже получил государственное арендное жилье;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Минской области – закрепить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 первоочередного предоставления мест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в учреждениях дошкольного образования детям работающих родителей (в том числе находящимся в отпуске по уходу за ребенком);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Витебской области – реформирование системы образования, в частности: обеспечение открытия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(классы IT-технологий, классы машиностроительного профиля, экономические классы, медицинские классы и др.),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определение льгот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при поступлении выпускников данных классов в учреждения высшего образования соответствующего профиля с условием отработки в регионе и др.</w:t>
      </w:r>
      <w:proofErr w:type="gramEnd"/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Молодежная политика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внедрение системы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льготных кредитов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для молодежи, например, на строительство и приобретение жилья (с низкой фиксированной процентной ставкой на длительный срок) в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регионах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страны с целью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закрепления молодых специалистов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внедрение системы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открытых конкурсов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 среди молодежи и молодежных общественных объединений на выполнение социально значимых 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проектов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как на республиканском, так и на местном уровнях;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рассмотрение вопроса об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увеличении возраста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молодых граждан с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 до 35 лет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разработка программы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зарубежных молодежных стажировок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создание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сети областных молодежных лагерей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для учебы кадрового резерва, подготовки молодых спикеров, будущих руководителей и т. д.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стимулирование и развитие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молодежных общественных инициатив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 посредством создания дискуссионных площадок, информационных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формирование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новой традиции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проведения Дня молодежи: накануне или в день праздника проводить открытый диалог с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участием Главы государства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для обсуждения молодежной повестки с представителями различных категорий молодежи;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создание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государственного органа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, ответственного за координацию и реализацию молодежной политики.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Помимо этого, участниками общественных дискуссий было также предложено: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Минской области – стимулировать трудоустройство студентов через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предоставление налоговых льгот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нанимателям (снижение подоходного налога и обязательных страховых взносов);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Витебской области – вынести на обсуждение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пересмотр норм трудового законодательства для трудоустройства подростков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Эти и многие другие предложения, сделанные участниками диалоговых площадок, будут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аккумулированы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организационным комитетом Всебелорусского народного собрания и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представлены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для рассмотрения делегатам данного форума, что позволит создать почву для обсуждения возможных вопросов модернизации общественно-политической системы Беларуси.</w:t>
      </w:r>
      <w:proofErr w:type="gramEnd"/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Также одним из стержневых вопросов Всебелорусского народного собрания станет обсуждение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 социально-экономического развития Республики Беларусь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(далее – Программа) на очередную пятилетку.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Главная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отличительная особенность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Программы – ее нацеленность на безусловное создание условий для роста благосостояния граждан страны.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основе благосостояния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 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всех сфер жизнедеятельности и эффективной системы управления экономикой.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В качестве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основных задач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 на предстоящее пятилетие 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заявлены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увеличение реальных доходов населения в 1,2 раза;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недопущение роста потребительских цен выше 5%;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укрепление здоровья нации и повышение ожидаемой продолжительность жизни до 76–77 лет в 2025 году;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обеспечение ежегодного поступательного роста ВВП;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реализация эффективной региональной политики.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Учитывая вышесказанное,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приоритетными направлениями для обновления Беларуси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станут: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создание условий для улучшения жизни населения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. Для этого планируется обеспечить 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повысить качество национальной системы образования, создать все возможности для развития и самореализации молодежи;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поддержка макроэкономической сбалансированности и финансовой стабильности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, которая предполагает обеспечение финансовой и ценовой стабильности в стране, повышение эффективности управления государственными финансами и поддержание оптимального уровня налоговой нагрузки;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инициативы, предпринимательства и конкуренции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. Целью данного направления является создание благоприятной деловой среды: стабильные, комфортные и предсказуемые условия для инвестирования и ведения бизнеса;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преобразование государственного управления. 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Современный этап развития предъявляет более высокие требования к государственному управлению. 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 Планируется проведение работы по совершенствованию действующей структуры на основе дифференцированного подхода: укрупнение либо разукрупнение 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административно-территориальных единиц, в зависимости от текущей численности жителей отдельных районов;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повышение отдачи от </w:t>
      </w:r>
      <w:proofErr w:type="spellStart"/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госактивов</w:t>
      </w:r>
      <w:proofErr w:type="spellEnd"/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национальных богатств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Управление предприятиями с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госучастием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передать профессиональным управляющим структурам. Для повышения эффективности управления предоставить достаточную степень свободы руководителям. Вовлечь неиспользуемые или неэффективно используемые ресурсы и национальное богатство в экономический оборот;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стимулирование диверсификации внешней торговли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увеличение объема эффективного инвестирования в производство и услуги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. Здесь целесообразно,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предпринимательства; строительство порядка 20 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кв. метров жилья за пятилетие; финансирование инфраструктурных проектов;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повышение </w:t>
      </w:r>
      <w:proofErr w:type="spellStart"/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инновационности</w:t>
      </w:r>
      <w:proofErr w:type="spellEnd"/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экономики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. К 2025 году 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планируется достигнуть уровень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рынок научно-технической продукции. Особое значение в этом направлении играет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белорусской экономики;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реализация стратегии регионального развития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. 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позиционировании сельского образа жизни (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деурбанизация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). Значимым является: развитие регионов через новые производства и рабочие места; комфортность и безопасность среды проживания; обеспеченность граждан комфортным жильем; формирование развитой коммунальной инфраструктуры, повышение комфортности и безопасности транспортной инфраструктуры;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Для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повышения эффективности производственной сферы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 планируется: увеличить рост конкурентоспособности 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29 октября 2020 г. и уже сейчас облисполкомами и горисполкомом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инска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работа над формированием состава делегаций. На текущий момент проведение собрания запланировано на январь–февраль 2021 г. Однако, по словам Председателя организационного комитета по подготовке и проведению шестого Всебелорусского народного собрания, премьер-министра Республики Беларусь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Р.А.Головченко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>, с учетом эпидемиологической ситуации, </w:t>
      </w:r>
      <w:r w:rsidRPr="00F76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и формат могут быть скорректированы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 </w:t>
      </w:r>
      <w:r w:rsidRPr="00F76A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широкое обсуждение общественных и политических аспектов развития Беларуси</w:t>
      </w:r>
      <w:r w:rsidRPr="00F76A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а также обсуждение планов на 2021 г. и очерчивание контуров следующей пятилетки.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Еще 16 сентября 2020 г. на встрече с политическим активом страны во Дворце Независимости Глава государства </w:t>
      </w:r>
      <w:proofErr w:type="spellStart"/>
      <w:r w:rsidRPr="00F76A92">
        <w:rPr>
          <w:rFonts w:ascii="Times New Roman" w:hAnsi="Times New Roman" w:cs="Times New Roman"/>
          <w:sz w:val="28"/>
          <w:szCs w:val="28"/>
          <w:lang w:eastAsia="ru-RU"/>
        </w:rPr>
        <w:t>А.Г.Лукашенко</w:t>
      </w:r>
      <w:proofErr w:type="spellEnd"/>
      <w:r w:rsidRPr="00F76A92">
        <w:rPr>
          <w:rFonts w:ascii="Times New Roman" w:hAnsi="Times New Roman" w:cs="Times New Roman"/>
          <w:sz w:val="28"/>
          <w:szCs w:val="28"/>
          <w:lang w:eastAsia="ru-RU"/>
        </w:rPr>
        <w:t xml:space="preserve"> подчеркнул важность взаимодействия с обществом. По словам белорусского лидера, в нашей республике назрела необходимость придать новый импульс общественно-политической жизни страны, и на этом этапе важно </w:t>
      </w:r>
      <w:r w:rsidRPr="00F76A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сформировать единое представление о том, как должна развиваться Беларусь и как должно выглядеть ее государственное устройство.</w:t>
      </w:r>
    </w:p>
    <w:p w:rsidR="00F76A92" w:rsidRPr="00F76A92" w:rsidRDefault="00F76A92" w:rsidP="00F76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6A92">
        <w:rPr>
          <w:rFonts w:ascii="Times New Roman" w:hAnsi="Times New Roman" w:cs="Times New Roman"/>
          <w:sz w:val="28"/>
          <w:szCs w:val="28"/>
          <w:lang w:eastAsia="ru-RU"/>
        </w:rPr>
        <w:t>Только совместными усилиями в рамках конструктивного диалога можно решить все назревшие вопросы и продолжить строительство независимого будущего нашей страны – Республики Беларусь.</w:t>
      </w:r>
    </w:p>
    <w:p w:rsidR="00920A97" w:rsidRPr="00F76A92" w:rsidRDefault="00F76A92" w:rsidP="00F76A92">
      <w:pPr>
        <w:rPr>
          <w:rFonts w:ascii="Times New Roman" w:hAnsi="Times New Roman" w:cs="Times New Roman"/>
          <w:sz w:val="28"/>
          <w:szCs w:val="28"/>
        </w:rPr>
      </w:pPr>
    </w:p>
    <w:sectPr w:rsidR="00920A97" w:rsidRPr="00F7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92"/>
    <w:rsid w:val="007B47AC"/>
    <w:rsid w:val="00CD7529"/>
    <w:rsid w:val="00F7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92"/>
    <w:rPr>
      <w:b/>
      <w:bCs/>
    </w:rPr>
  </w:style>
  <w:style w:type="character" w:styleId="a5">
    <w:name w:val="Emphasis"/>
    <w:basedOn w:val="a0"/>
    <w:uiPriority w:val="20"/>
    <w:qFormat/>
    <w:rsid w:val="00F76A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92"/>
    <w:rPr>
      <w:b/>
      <w:bCs/>
    </w:rPr>
  </w:style>
  <w:style w:type="character" w:styleId="a5">
    <w:name w:val="Emphasis"/>
    <w:basedOn w:val="a0"/>
    <w:uiPriority w:val="20"/>
    <w:qFormat/>
    <w:rsid w:val="00F76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5239</Words>
  <Characters>29865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2021-01-08T09:12:00Z</dcterms:created>
  <dcterms:modified xsi:type="dcterms:W3CDTF">2021-01-08T09:15:00Z</dcterms:modified>
</cp:coreProperties>
</file>