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85" w:rsidRPr="00074F85" w:rsidRDefault="009B663E" w:rsidP="00074F85">
      <w:pPr>
        <w:pBdr>
          <w:bottom w:val="single" w:sz="6" w:space="8" w:color="CCCCCC"/>
        </w:pBdr>
        <w:spacing w:after="0" w:line="300" w:lineRule="atLeast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ru-RU"/>
        </w:rPr>
        <w:t>ОКТ</w:t>
      </w:r>
      <w:bookmarkStart w:id="0" w:name="_GoBack"/>
      <w:bookmarkEnd w:id="0"/>
      <w:r w:rsidR="00074F85" w:rsidRPr="00074F85">
        <w:rPr>
          <w:rFonts w:ascii="Times New Roman" w:eastAsia="Times New Roman" w:hAnsi="Times New Roman" w:cs="Times New Roman"/>
          <w:caps/>
          <w:kern w:val="36"/>
          <w:sz w:val="24"/>
          <w:szCs w:val="24"/>
          <w:lang w:val="ru-RU"/>
        </w:rPr>
        <w:t>ЯБРЬ, 2020: ОПЛАТА ЖИЛИЩНО-КОММУНАЛЬНЫХ УСЛУГ. НАЧАЛО ОТОПИТЕЛЬНОГО СЕЗОНА В БРЕСТСКОЙ ОБЛАСТИ</w:t>
      </w:r>
    </w:p>
    <w:p w:rsidR="00074F85" w:rsidRPr="00074F85" w:rsidRDefault="00074F85" w:rsidP="00074F85">
      <w:pPr>
        <w:shd w:val="clear" w:color="auto" w:fill="F5F5F5"/>
        <w:spacing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Практически все жилищно-коммунальные услуги возмещаются населением в полном объеме, за исключением отопления и горячего водоснабжения</w:t>
      </w:r>
      <w:r w:rsidRPr="00074F85">
        <w:rPr>
          <w:rFonts w:ascii="Arial" w:eastAsia="Times New Roman" w:hAnsi="Arial" w:cs="Arial"/>
          <w:color w:val="414248"/>
          <w:sz w:val="20"/>
          <w:szCs w:val="20"/>
        </w:rPr>
        <w:t> </w:t>
      </w: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 xml:space="preserve"> (около 20%).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Недоплаченную людьми стоимость жилищно-коммунальных услуг покрывают предприятия и организации (перекрестное субсидирование) и бюджет.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В Брестской области с 2014 года тарифы на услуги водоснабжения, водоотведения и теплоснабжения для юридических лиц формируются без перекрестного субсидирования.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В соответствии с законодательством плата за жилищно-коммунальные услуги и плата за пользование жилым помещением вносится за каждый истекший месяц не позднее 25-го числа следующего за ним месяца. Начиная с 26 числа, к плательщику применяться мера ответственности в виде начисления пени 0,3 % за каждый день просрочки.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По состоянию на 1 сентября 2020 г. просроченная задолженность населения составила 3710,87 тыс. рублей. Из 626 848 лицевых счетов просроченная задолженность имеется по 54 993 лицевым счетам или 8,8%.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Работа по взысканию просроченной дебиторской задолженности населения ведется на постоянной основе с применением мер воздействия, предусмотренных законодательством Республики Беларусь.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Так за 8 месяцев 2020: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- выдано предупреждений о приостановлении жилищно-коммунальных услуг – 56</w:t>
      </w:r>
      <w:r w:rsidRPr="00074F85">
        <w:rPr>
          <w:rFonts w:ascii="Arial" w:eastAsia="Times New Roman" w:hAnsi="Arial" w:cs="Arial"/>
          <w:color w:val="414248"/>
          <w:sz w:val="20"/>
          <w:szCs w:val="20"/>
        </w:rPr>
        <w:t> </w:t>
      </w: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531 ед.;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- отключено абонентов от коммунальных услуг – 2</w:t>
      </w:r>
      <w:r w:rsidRPr="00074F85">
        <w:rPr>
          <w:rFonts w:ascii="Arial" w:eastAsia="Times New Roman" w:hAnsi="Arial" w:cs="Arial"/>
          <w:color w:val="414248"/>
          <w:sz w:val="20"/>
          <w:szCs w:val="20"/>
        </w:rPr>
        <w:t> </w:t>
      </w: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691 ед.,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- подано на взыскание исполнительных надписей – 8</w:t>
      </w:r>
      <w:r w:rsidRPr="00074F85">
        <w:rPr>
          <w:rFonts w:ascii="Arial" w:eastAsia="Times New Roman" w:hAnsi="Arial" w:cs="Arial"/>
          <w:color w:val="414248"/>
          <w:sz w:val="20"/>
          <w:szCs w:val="20"/>
        </w:rPr>
        <w:t> </w:t>
      </w: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983 ед. на сумму 1</w:t>
      </w:r>
      <w:r w:rsidRPr="00074F85">
        <w:rPr>
          <w:rFonts w:ascii="Arial" w:eastAsia="Times New Roman" w:hAnsi="Arial" w:cs="Arial"/>
          <w:color w:val="414248"/>
          <w:sz w:val="20"/>
          <w:szCs w:val="20"/>
        </w:rPr>
        <w:t> </w:t>
      </w: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659 тыс. руб.;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- подано исковых заявлений в суды – 152 ед. на сумму 109,6 тыс. руб.;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- подано исковых заявлений в суды о выселении – 147 ед.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В настоящее время налажена работа с областным управлением фонда социальной защиты населения по предоставлению сведений о месте работы должника, застрахованного и имеющего задолженность по жилищно-коммунальным услугам, для последующего направления взыскателем исполнительного документа напрямую по месту работы должника.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 xml:space="preserve">Граждане с низкими доходами могут претендовать на безналичную жилищную субсидию, которая покроет часть стоимости жилищно-коммунальных услуг. Она положена, если ежемесячная сумма платы за жилищно-коммунальные услуги превышает 20% среднемесячного совокупного дохода семьи, проживающей в городе, и 15% – на селе. Безналичные субсидии предоставляются по заявительному и выявительному принципу. В первом случае людям нужно самим обращаться в организации, начисляющие плату за жилищно-коммунальные услуги, во втором </w:t>
      </w: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noBreakHyphen/>
        <w:t xml:space="preserve"> таких плательщиков выявляют автоматически.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 xml:space="preserve">По выявительной системе безналичные субсидии начисляют неработающим пенсионерам и инвалидам, людям, ухаживающим за детьми в возрасте до трех лет, детьми-инвалидами до 18 лет, и тем, кто получает пособие по уходу за инвалидом </w:t>
      </w:r>
      <w:r w:rsidRPr="00074F85">
        <w:rPr>
          <w:rFonts w:ascii="Arial" w:eastAsia="Times New Roman" w:hAnsi="Arial" w:cs="Arial"/>
          <w:color w:val="414248"/>
          <w:sz w:val="20"/>
          <w:szCs w:val="20"/>
        </w:rPr>
        <w:t>I</w:t>
      </w: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 xml:space="preserve"> группы или лицом, достигшим 80-летнего возраста.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b/>
          <w:bCs/>
          <w:color w:val="414248"/>
          <w:sz w:val="20"/>
          <w:szCs w:val="20"/>
          <w:lang w:val="ru-RU"/>
        </w:rPr>
        <w:t xml:space="preserve">О готовности к работе в осенне-зимний период </w:t>
      </w:r>
      <w:r w:rsidRPr="00074F85">
        <w:rPr>
          <w:rFonts w:ascii="Arial" w:eastAsia="Times New Roman" w:hAnsi="Arial" w:cs="Arial"/>
          <w:b/>
          <w:bCs/>
          <w:color w:val="414248"/>
          <w:sz w:val="20"/>
          <w:szCs w:val="20"/>
        </w:rPr>
        <w:t> </w:t>
      </w:r>
      <w:r w:rsidRPr="00074F85">
        <w:rPr>
          <w:rFonts w:ascii="Arial" w:eastAsia="Times New Roman" w:hAnsi="Arial" w:cs="Arial"/>
          <w:b/>
          <w:bCs/>
          <w:color w:val="414248"/>
          <w:sz w:val="20"/>
          <w:szCs w:val="20"/>
          <w:lang w:val="ru-RU"/>
        </w:rPr>
        <w:t>2020/2021 года.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</w:rPr>
        <w:t>        </w:t>
      </w: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 xml:space="preserve"> По состоянию на 12 октября 2020 года в системе ЖКХ Брестской области мероприятия по подготовке к предстоящему отопительному сезону выполнены в следующих объемах.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lastRenderedPageBreak/>
        <w:t>1. Произведена замена 89 км тепловых сетей, что составляет 96,7% задания, доведенного на 2020 год (92 км). В целом на плановое задание планируется выйти к 1 ноября 2020 г.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 xml:space="preserve">2. Выполнен капитальный ремонт 9 котлов (100%) и замена </w:t>
      </w:r>
      <w:r w:rsidRPr="00074F85">
        <w:rPr>
          <w:rFonts w:ascii="Arial" w:eastAsia="Times New Roman" w:hAnsi="Arial" w:cs="Arial"/>
          <w:color w:val="414248"/>
          <w:sz w:val="20"/>
          <w:szCs w:val="20"/>
        </w:rPr>
        <w:t>                    </w:t>
      </w: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12 котлов на современные (100%);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 xml:space="preserve">3. Проведена модернизация котельных дер. </w:t>
      </w:r>
      <w:proofErr w:type="spellStart"/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Люща</w:t>
      </w:r>
      <w:proofErr w:type="spellEnd"/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 xml:space="preserve"> </w:t>
      </w:r>
      <w:proofErr w:type="spellStart"/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Лунинецкого</w:t>
      </w:r>
      <w:proofErr w:type="spellEnd"/>
      <w:r w:rsidRPr="00074F85">
        <w:rPr>
          <w:rFonts w:ascii="Arial" w:eastAsia="Times New Roman" w:hAnsi="Arial" w:cs="Arial"/>
          <w:color w:val="414248"/>
          <w:sz w:val="20"/>
          <w:szCs w:val="20"/>
        </w:rPr>
        <w:t>                </w:t>
      </w: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 xml:space="preserve"> района и дер. </w:t>
      </w:r>
      <w:proofErr w:type="spellStart"/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Оберовщина</w:t>
      </w:r>
      <w:proofErr w:type="spellEnd"/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 xml:space="preserve"> </w:t>
      </w:r>
      <w:proofErr w:type="spellStart"/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Камегнецкого</w:t>
      </w:r>
      <w:proofErr w:type="spellEnd"/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 xml:space="preserve"> района,</w:t>
      </w:r>
      <w:r w:rsidRPr="00074F85">
        <w:rPr>
          <w:rFonts w:ascii="Arial" w:eastAsia="Times New Roman" w:hAnsi="Arial" w:cs="Arial"/>
          <w:color w:val="414248"/>
          <w:sz w:val="20"/>
          <w:szCs w:val="20"/>
        </w:rPr>
        <w:t> </w:t>
      </w: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 xml:space="preserve"> имеющих повышенный расход топлива и электроэнергии на отпуск тепловой энергии.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</w:rPr>
        <w:t>        </w:t>
      </w: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 xml:space="preserve"> 4. Созданы запасы древесного топлива (205 тыс. м3 - 100% от</w:t>
      </w:r>
      <w:r w:rsidRPr="00074F85">
        <w:rPr>
          <w:rFonts w:ascii="Arial" w:eastAsia="Times New Roman" w:hAnsi="Arial" w:cs="Arial"/>
          <w:color w:val="414248"/>
          <w:sz w:val="20"/>
          <w:szCs w:val="20"/>
        </w:rPr>
        <w:t> </w:t>
      </w: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 xml:space="preserve"> запланированного объема)</w:t>
      </w:r>
      <w:r w:rsidRPr="00074F85">
        <w:rPr>
          <w:rFonts w:ascii="Arial" w:eastAsia="Times New Roman" w:hAnsi="Arial" w:cs="Arial"/>
          <w:color w:val="414248"/>
          <w:sz w:val="20"/>
          <w:szCs w:val="20"/>
        </w:rPr>
        <w:t> </w:t>
      </w: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 xml:space="preserve"> и торфобрикетов (5,5 тыс. тонн – 100%).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5. Приведены в исправное состояние 90 автономных источников электроснабжения.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</w:rPr>
        <w:t>         </w:t>
      </w: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 xml:space="preserve"> 6. Создано 111 аварийно-восстановительных бригад общей численностью 636 человек. Данные бригады</w:t>
      </w:r>
      <w:r w:rsidRPr="00074F85">
        <w:rPr>
          <w:rFonts w:ascii="Arial" w:eastAsia="Times New Roman" w:hAnsi="Arial" w:cs="Arial"/>
          <w:color w:val="414248"/>
          <w:sz w:val="20"/>
          <w:szCs w:val="20"/>
        </w:rPr>
        <w:t> </w:t>
      </w: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 xml:space="preserve"> укомплектованы необходимой техникой и материалами.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</w:rPr>
        <w:t>         </w:t>
      </w: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 xml:space="preserve"> 7. Имеется подменный фонд приборов учета тепловой энергии в количестве 210 единиц, что позволит</w:t>
      </w:r>
      <w:r w:rsidRPr="00074F85">
        <w:rPr>
          <w:rFonts w:ascii="Arial" w:eastAsia="Times New Roman" w:hAnsi="Arial" w:cs="Arial"/>
          <w:color w:val="414248"/>
          <w:sz w:val="20"/>
          <w:szCs w:val="20"/>
        </w:rPr>
        <w:t> </w:t>
      </w: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 xml:space="preserve"> обеспечить учет расхода тепловой энергии на объектах в случае выхода из строя теплосчетчиков.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</w:rPr>
        <w:t>        </w:t>
      </w: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 xml:space="preserve"> 9. Разработаны и согласованы в установленном порядке температурные графики работы теплоисточников в осенне-зимний период 2020-2021 года.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Подписано распоряжение председателя облисполкома «О начале отопительного сезона», которым определяется последовательность включения систем отопления потребителей тепловой энергии при установлении температур наружного воздуха: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первая очередь – детские дошкольные, школьные, лечебно-профилактические, медицинские учреждения, учреждения социального обеспечения, музеи, государственные архивы, библиотеки, гостиницы – при среднесуточной температуре в течение пяти суток плюс 10 градусов Цельсия и ниже;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вторая очередь – жилищной фонд, общежития, учреждения образования (за исключением детских дошкольных и школьных учреждений), театры, общегородские бани – при среднесуточной температуре в течение пяти суток плюс 8 градусов Цельсия и ниже;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третья очередь – общественные и административные здания;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четвертая очередь – промышленные и прочие организации.</w:t>
      </w:r>
    </w:p>
    <w:p w:rsidR="00074F85" w:rsidRPr="00074F85" w:rsidRDefault="00074F85" w:rsidP="00074F85">
      <w:pPr>
        <w:shd w:val="clear" w:color="auto" w:fill="F5F5F5"/>
        <w:spacing w:before="225" w:after="225" w:line="240" w:lineRule="auto"/>
        <w:rPr>
          <w:rFonts w:ascii="Arial" w:eastAsia="Times New Roman" w:hAnsi="Arial" w:cs="Arial"/>
          <w:color w:val="414248"/>
          <w:sz w:val="20"/>
          <w:szCs w:val="20"/>
          <w:lang w:val="ru-RU"/>
        </w:rPr>
      </w:pP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Для обеспечения рационального расхода топлива при производстве и потреблении тепловой энергии поставщикам тепла предписывается применять режим «протапливания» при дневных температурах наружного воздуха выше плюс 10</w:t>
      </w:r>
      <w:r w:rsidRPr="00074F85">
        <w:rPr>
          <w:rFonts w:ascii="Arial" w:eastAsia="Times New Roman" w:hAnsi="Arial" w:cs="Arial"/>
          <w:color w:val="414248"/>
          <w:sz w:val="20"/>
          <w:szCs w:val="20"/>
          <w:vertAlign w:val="superscript"/>
          <w:lang w:val="ru-RU"/>
        </w:rPr>
        <w:t>0</w:t>
      </w:r>
      <w:r w:rsidRPr="00074F85">
        <w:rPr>
          <w:rFonts w:ascii="Arial" w:eastAsia="Times New Roman" w:hAnsi="Arial" w:cs="Arial"/>
          <w:color w:val="414248"/>
          <w:sz w:val="20"/>
          <w:szCs w:val="20"/>
          <w:lang w:val="ru-RU"/>
        </w:rPr>
        <w:t>С.</w:t>
      </w:r>
    </w:p>
    <w:p w:rsidR="00FA2747" w:rsidRPr="00074F85" w:rsidRDefault="00FA2747">
      <w:pPr>
        <w:rPr>
          <w:lang w:val="ru-RU"/>
        </w:rPr>
      </w:pPr>
    </w:p>
    <w:sectPr w:rsidR="00FA2747" w:rsidRPr="00074F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85"/>
    <w:rsid w:val="00074F85"/>
    <w:rsid w:val="009B663E"/>
    <w:rsid w:val="00FA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7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4F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4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7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4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2020-11-16T11:09:00Z</dcterms:created>
  <dcterms:modified xsi:type="dcterms:W3CDTF">2020-11-16T12:23:00Z</dcterms:modified>
</cp:coreProperties>
</file>